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A7" w:rsidRDefault="00953D85" w:rsidP="00953D85">
      <w:pPr>
        <w:widowControl/>
        <w:spacing w:line="408" w:lineRule="atLeast"/>
        <w:jc w:val="center"/>
        <w:outlineLvl w:val="2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726FA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信诚</w:t>
      </w:r>
      <w:r w:rsidRPr="00726FA7">
        <w:rPr>
          <w:rFonts w:ascii="宋体" w:eastAsia="宋体" w:hAnsi="宋体" w:cs="宋体"/>
          <w:b/>
          <w:bCs/>
          <w:kern w:val="0"/>
          <w:sz w:val="28"/>
          <w:szCs w:val="28"/>
        </w:rPr>
        <w:t>基金管理公司关于</w:t>
      </w:r>
      <w:r w:rsidRPr="00726FA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信诚年年有余</w:t>
      </w:r>
    </w:p>
    <w:p w:rsidR="00953D85" w:rsidRPr="00726FA7" w:rsidRDefault="00953D85" w:rsidP="00726FA7">
      <w:pPr>
        <w:widowControl/>
        <w:spacing w:line="408" w:lineRule="atLeast"/>
        <w:jc w:val="center"/>
        <w:outlineLvl w:val="2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726FA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定期开放债券型证券投资基金2014年一季报</w:t>
      </w:r>
      <w:r w:rsidRPr="00726FA7">
        <w:rPr>
          <w:rFonts w:ascii="宋体" w:eastAsia="宋体" w:hAnsi="宋体" w:cs="宋体"/>
          <w:b/>
          <w:bCs/>
          <w:kern w:val="0"/>
          <w:sz w:val="28"/>
          <w:szCs w:val="28"/>
        </w:rPr>
        <w:t>更正公告</w:t>
      </w:r>
    </w:p>
    <w:p w:rsidR="00726FA7" w:rsidRPr="00726FA7" w:rsidRDefault="00726FA7" w:rsidP="00953D85">
      <w:pPr>
        <w:widowControl/>
        <w:spacing w:line="408" w:lineRule="atLeast"/>
        <w:jc w:val="center"/>
        <w:outlineLvl w:val="2"/>
        <w:rPr>
          <w:rFonts w:ascii="宋体" w:eastAsia="宋体" w:hAnsi="宋体" w:cs="宋体"/>
          <w:b/>
          <w:bCs/>
          <w:kern w:val="0"/>
          <w:szCs w:val="21"/>
        </w:rPr>
      </w:pPr>
    </w:p>
    <w:p w:rsidR="00953D85" w:rsidRDefault="00953D85" w:rsidP="00953D85">
      <w:pPr>
        <w:widowControl/>
        <w:spacing w:line="326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A5A94">
        <w:rPr>
          <w:rFonts w:ascii="宋体" w:eastAsia="宋体" w:hAnsi="宋体" w:cs="宋体"/>
          <w:color w:val="333333"/>
          <w:kern w:val="0"/>
          <w:sz w:val="19"/>
          <w:szCs w:val="19"/>
        </w:rPr>
        <w:t xml:space="preserve">　　</w:t>
      </w:r>
      <w:r w:rsidRPr="007A5A94">
        <w:rPr>
          <w:rFonts w:ascii="宋体" w:eastAsia="宋体" w:hAnsi="宋体" w:cs="宋体"/>
          <w:color w:val="333333"/>
          <w:kern w:val="0"/>
          <w:szCs w:val="21"/>
        </w:rPr>
        <w:t xml:space="preserve"> 本公司于 </w:t>
      </w:r>
      <w:r w:rsidRPr="00953D85">
        <w:rPr>
          <w:rFonts w:ascii="宋体" w:eastAsia="宋体" w:hAnsi="宋体" w:cs="宋体" w:hint="eastAsia"/>
          <w:color w:val="333333"/>
          <w:kern w:val="0"/>
          <w:szCs w:val="21"/>
        </w:rPr>
        <w:t>2014年4月19日</w:t>
      </w:r>
      <w:r w:rsidRPr="007A5A94">
        <w:rPr>
          <w:rFonts w:ascii="宋体" w:eastAsia="宋体" w:hAnsi="宋体" w:cs="宋体"/>
          <w:color w:val="333333"/>
          <w:kern w:val="0"/>
          <w:szCs w:val="21"/>
        </w:rPr>
        <w:t>在《中国证券报》、《上海证券报》</w:t>
      </w:r>
      <w:r w:rsidR="005F6ADB">
        <w:rPr>
          <w:rFonts w:ascii="宋体" w:eastAsia="宋体" w:hAnsi="宋体" w:cs="宋体" w:hint="eastAsia"/>
          <w:color w:val="333333"/>
          <w:kern w:val="0"/>
          <w:szCs w:val="21"/>
        </w:rPr>
        <w:t>和</w:t>
      </w:r>
      <w:r w:rsidRPr="007A5A94">
        <w:rPr>
          <w:rFonts w:ascii="宋体" w:eastAsia="宋体" w:hAnsi="宋体" w:cs="宋体"/>
          <w:color w:val="333333"/>
          <w:kern w:val="0"/>
          <w:szCs w:val="21"/>
        </w:rPr>
        <w:t>《证券时报》</w:t>
      </w:r>
      <w:r w:rsidR="005F6ADB">
        <w:rPr>
          <w:rFonts w:ascii="宋体" w:eastAsia="宋体" w:hAnsi="宋体" w:cs="宋体" w:hint="eastAsia"/>
          <w:color w:val="333333"/>
          <w:kern w:val="0"/>
          <w:szCs w:val="21"/>
        </w:rPr>
        <w:t>上</w:t>
      </w:r>
      <w:r w:rsidRPr="007A5A94">
        <w:rPr>
          <w:rFonts w:ascii="宋体" w:eastAsia="宋体" w:hAnsi="宋体" w:cs="宋体"/>
          <w:color w:val="333333"/>
          <w:kern w:val="0"/>
          <w:szCs w:val="21"/>
        </w:rPr>
        <w:t>披露了《</w:t>
      </w:r>
      <w:r w:rsidRPr="00953D85">
        <w:rPr>
          <w:rFonts w:ascii="宋体" w:eastAsia="宋体" w:hAnsi="宋体" w:cs="宋体" w:hint="eastAsia"/>
          <w:color w:val="333333"/>
          <w:kern w:val="0"/>
          <w:szCs w:val="21"/>
        </w:rPr>
        <w:t>信诚年年有余定期开放债券型证券投资基金2014年第一季度报告</w:t>
      </w:r>
      <w:r w:rsidRPr="007A5A94">
        <w:rPr>
          <w:rFonts w:ascii="宋体" w:eastAsia="宋体" w:hAnsi="宋体" w:cs="宋体"/>
          <w:color w:val="333333"/>
          <w:kern w:val="0"/>
          <w:szCs w:val="21"/>
        </w:rPr>
        <w:t>》。报告中相关数据更正如下：</w:t>
      </w:r>
      <w:r w:rsidRPr="00953D85" w:rsidDel="00953D85">
        <w:rPr>
          <w:rFonts w:ascii="宋体" w:eastAsia="宋体" w:hAnsi="宋体" w:cs="宋体"/>
          <w:color w:val="333333"/>
          <w:kern w:val="0"/>
          <w:szCs w:val="21"/>
        </w:rPr>
        <w:t xml:space="preserve"> </w:t>
      </w:r>
    </w:p>
    <w:p w:rsidR="000C5EE3" w:rsidRPr="000C5EE3" w:rsidRDefault="000C5EE3" w:rsidP="00953D85">
      <w:pPr>
        <w:widowControl/>
        <w:spacing w:line="326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953D85" w:rsidRDefault="00953D85" w:rsidP="00953D85">
      <w:pPr>
        <w:widowControl/>
        <w:spacing w:line="326" w:lineRule="atLeast"/>
        <w:ind w:firstLineChars="200"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A5A94">
        <w:rPr>
          <w:rFonts w:ascii="宋体" w:eastAsia="宋体" w:hAnsi="宋体" w:cs="宋体"/>
          <w:color w:val="333333"/>
          <w:kern w:val="0"/>
          <w:szCs w:val="21"/>
        </w:rPr>
        <w:t>更正前的数据为：</w:t>
      </w:r>
      <w:r w:rsidRPr="00953D85" w:rsidDel="00953D85">
        <w:rPr>
          <w:rFonts w:ascii="宋体" w:eastAsia="宋体" w:hAnsi="宋体" w:cs="宋体"/>
          <w:color w:val="333333"/>
          <w:kern w:val="0"/>
          <w:szCs w:val="21"/>
        </w:rPr>
        <w:t xml:space="preserve"> </w:t>
      </w:r>
      <w:r w:rsidRPr="00953D85">
        <w:rPr>
          <w:rFonts w:ascii="宋体" w:eastAsia="宋体" w:hAnsi="宋体" w:cs="宋体"/>
          <w:color w:val="333333"/>
          <w:kern w:val="0"/>
          <w:szCs w:val="21"/>
        </w:rPr>
        <w:t>  </w:t>
      </w:r>
    </w:p>
    <w:p w:rsidR="00953D85" w:rsidRPr="00953D85" w:rsidRDefault="00953D85" w:rsidP="00953D85">
      <w:pPr>
        <w:widowControl/>
        <w:spacing w:line="326" w:lineRule="atLeast"/>
        <w:ind w:firstLineChars="200"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53D85">
        <w:rPr>
          <w:rFonts w:ascii="宋体" w:eastAsia="宋体" w:hAnsi="宋体" w:cs="宋体" w:hint="eastAsia"/>
          <w:color w:val="333333"/>
          <w:kern w:val="0"/>
          <w:szCs w:val="21"/>
        </w:rPr>
        <w:t>4.5</w:t>
      </w:r>
      <w:r w:rsidRPr="00953D85">
        <w:rPr>
          <w:rFonts w:ascii="宋体" w:eastAsia="宋体" w:hAnsi="宋体" w:cs="宋体" w:hint="eastAsia"/>
          <w:color w:val="333333"/>
          <w:kern w:val="0"/>
          <w:szCs w:val="21"/>
        </w:rPr>
        <w:tab/>
        <w:t>报告期内基金的业绩表现</w:t>
      </w:r>
    </w:p>
    <w:p w:rsidR="00953D85" w:rsidRPr="00953D85" w:rsidRDefault="00953D85" w:rsidP="00953D85">
      <w:pPr>
        <w:widowControl/>
        <w:spacing w:line="326" w:lineRule="atLeast"/>
        <w:ind w:firstLineChars="200"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53D85">
        <w:rPr>
          <w:rFonts w:ascii="宋体" w:eastAsia="宋体" w:hAnsi="宋体" w:cs="宋体"/>
          <w:bCs/>
          <w:color w:val="333333"/>
          <w:kern w:val="0"/>
        </w:rPr>
        <w:t>本报告期基金份额净值A和B增长率分别为2.50%,2.40%,同期业绩比较基准收益率为1.24%,基金表现超越基准分别为1.26,1.16个百分点。</w:t>
      </w:r>
      <w:r w:rsidRPr="007A5A94">
        <w:rPr>
          <w:rFonts w:ascii="宋体" w:eastAsia="宋体" w:hAnsi="宋体" w:cs="宋体"/>
          <w:color w:val="333333"/>
          <w:kern w:val="0"/>
          <w:szCs w:val="21"/>
        </w:rPr>
        <w:br/>
        <w:t>        </w:t>
      </w:r>
    </w:p>
    <w:p w:rsidR="00AF0D7C" w:rsidRDefault="00953D85" w:rsidP="00953D85">
      <w:pPr>
        <w:widowControl/>
        <w:spacing w:line="326" w:lineRule="atLeast"/>
        <w:ind w:left="420" w:hangingChars="200" w:hanging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A5A94">
        <w:rPr>
          <w:rFonts w:ascii="宋体" w:eastAsia="宋体" w:hAnsi="宋体" w:cs="宋体"/>
          <w:color w:val="333333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  </w:t>
      </w:r>
      <w:r w:rsidR="00726FA7"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  <w:r w:rsidRPr="007A5A94">
        <w:rPr>
          <w:rFonts w:ascii="宋体" w:eastAsia="宋体" w:hAnsi="宋体" w:cs="宋体"/>
          <w:color w:val="333333"/>
          <w:kern w:val="0"/>
          <w:szCs w:val="21"/>
        </w:rPr>
        <w:t>更正后的数据为：</w:t>
      </w:r>
    </w:p>
    <w:p w:rsidR="00AF0D7C" w:rsidRPr="00953D85" w:rsidRDefault="00AF0D7C" w:rsidP="00AF0D7C">
      <w:pPr>
        <w:widowControl/>
        <w:spacing w:line="326" w:lineRule="atLeast"/>
        <w:ind w:firstLineChars="200"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53D85">
        <w:rPr>
          <w:rFonts w:ascii="宋体" w:eastAsia="宋体" w:hAnsi="宋体" w:cs="宋体" w:hint="eastAsia"/>
          <w:color w:val="333333"/>
          <w:kern w:val="0"/>
          <w:szCs w:val="21"/>
        </w:rPr>
        <w:t>4.5</w:t>
      </w:r>
      <w:r w:rsidRPr="00953D85">
        <w:rPr>
          <w:rFonts w:ascii="宋体" w:eastAsia="宋体" w:hAnsi="宋体" w:cs="宋体" w:hint="eastAsia"/>
          <w:color w:val="333333"/>
          <w:kern w:val="0"/>
          <w:szCs w:val="21"/>
        </w:rPr>
        <w:tab/>
        <w:t>报告期内基金的业绩表现</w:t>
      </w:r>
    </w:p>
    <w:p w:rsidR="00953D85" w:rsidRPr="00953D85" w:rsidRDefault="00953D85" w:rsidP="00953D85">
      <w:pPr>
        <w:widowControl/>
        <w:spacing w:line="326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53D85">
        <w:rPr>
          <w:rFonts w:ascii="宋体" w:eastAsia="宋体" w:hAnsi="宋体" w:cs="宋体" w:hint="eastAsia"/>
          <w:color w:val="333333"/>
          <w:kern w:val="0"/>
          <w:szCs w:val="21"/>
        </w:rPr>
        <w:tab/>
        <w:t>本报告期基金份额净值</w:t>
      </w:r>
      <w:r w:rsidRPr="00953D85">
        <w:rPr>
          <w:rFonts w:ascii="宋体" w:eastAsia="宋体" w:hAnsi="宋体" w:cs="宋体"/>
          <w:color w:val="333333"/>
          <w:kern w:val="0"/>
          <w:szCs w:val="21"/>
        </w:rPr>
        <w:t>A和B增长率分别为2.50%,2.50%,同期业绩比较基准收益率为1.23%,基金表现超越基准分别为1.27,1.27个百分点。</w:t>
      </w:r>
    </w:p>
    <w:p w:rsidR="00474147" w:rsidRDefault="00953D85" w:rsidP="00953D85">
      <w:pPr>
        <w:widowControl/>
        <w:spacing w:line="326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A5A94">
        <w:rPr>
          <w:rFonts w:ascii="宋体" w:eastAsia="宋体" w:hAnsi="宋体" w:cs="宋体"/>
          <w:color w:val="333333"/>
          <w:kern w:val="0"/>
          <w:szCs w:val="21"/>
        </w:rPr>
        <w:t>  </w:t>
      </w:r>
    </w:p>
    <w:p w:rsidR="00953D85" w:rsidRPr="00953D85" w:rsidRDefault="00953D85" w:rsidP="00474147">
      <w:pPr>
        <w:widowControl/>
        <w:spacing w:line="326" w:lineRule="atLeast"/>
        <w:ind w:firstLineChars="200"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A5A94">
        <w:rPr>
          <w:rFonts w:ascii="宋体" w:eastAsia="宋体" w:hAnsi="宋体" w:cs="宋体"/>
          <w:color w:val="333333"/>
          <w:kern w:val="0"/>
          <w:szCs w:val="21"/>
        </w:rPr>
        <w:t xml:space="preserve">由此给投资者带来不便，公司深表歉意！         </w:t>
      </w:r>
    </w:p>
    <w:p w:rsidR="00FA7502" w:rsidRPr="009E2D42" w:rsidRDefault="00FA7502" w:rsidP="009E2D42">
      <w:pPr>
        <w:widowControl/>
        <w:spacing w:line="326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953D85" w:rsidRPr="00953D85" w:rsidRDefault="00953D85" w:rsidP="00953D85">
      <w:pPr>
        <w:widowControl/>
        <w:spacing w:line="326" w:lineRule="atLeast"/>
        <w:ind w:firstLineChars="200"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A5A94">
        <w:rPr>
          <w:rFonts w:ascii="宋体" w:eastAsia="宋体" w:hAnsi="宋体" w:cs="宋体"/>
          <w:color w:val="333333"/>
          <w:kern w:val="0"/>
          <w:szCs w:val="21"/>
        </w:rPr>
        <w:t>特此公告。        </w:t>
      </w:r>
    </w:p>
    <w:p w:rsidR="00953D85" w:rsidRDefault="00953D85" w:rsidP="00953D85">
      <w:pPr>
        <w:widowControl/>
        <w:spacing w:line="326" w:lineRule="atLeast"/>
        <w:ind w:firstLineChars="3172" w:firstLine="6661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FA7502" w:rsidRDefault="00FA7502" w:rsidP="00953D85">
      <w:pPr>
        <w:widowControl/>
        <w:spacing w:line="326" w:lineRule="atLeast"/>
        <w:ind w:firstLineChars="3172" w:firstLine="6661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953D85" w:rsidRDefault="00953D85" w:rsidP="00953D85">
      <w:pPr>
        <w:widowControl/>
        <w:spacing w:line="326" w:lineRule="atLeast"/>
        <w:ind w:firstLineChars="3172" w:firstLine="6661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953D85" w:rsidRPr="00953D85" w:rsidRDefault="00953D85" w:rsidP="00953D85">
      <w:pPr>
        <w:widowControl/>
        <w:spacing w:line="326" w:lineRule="atLeast"/>
        <w:ind w:firstLineChars="3172" w:firstLine="6661"/>
        <w:jc w:val="right"/>
        <w:rPr>
          <w:rFonts w:ascii="宋体" w:eastAsia="宋体" w:hAnsi="宋体" w:cs="宋体"/>
          <w:color w:val="333333"/>
          <w:kern w:val="0"/>
          <w:szCs w:val="21"/>
        </w:rPr>
      </w:pPr>
      <w:r w:rsidRPr="007A5A94">
        <w:rPr>
          <w:rFonts w:ascii="宋体" w:eastAsia="宋体" w:hAnsi="宋体" w:cs="宋体"/>
          <w:color w:val="333333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                                 </w:t>
      </w:r>
      <w:r w:rsidRPr="00953D85">
        <w:rPr>
          <w:rFonts w:ascii="宋体" w:eastAsia="宋体" w:hAnsi="宋体" w:cs="宋体" w:hint="eastAsia"/>
          <w:color w:val="333333"/>
          <w:kern w:val="0"/>
          <w:szCs w:val="21"/>
        </w:rPr>
        <w:t>信诚</w:t>
      </w:r>
      <w:r w:rsidRPr="007A5A94">
        <w:rPr>
          <w:rFonts w:ascii="宋体" w:eastAsia="宋体" w:hAnsi="宋体" w:cs="宋体"/>
          <w:color w:val="333333"/>
          <w:kern w:val="0"/>
          <w:szCs w:val="21"/>
        </w:rPr>
        <w:t xml:space="preserve">基金管理有限公司 </w:t>
      </w:r>
    </w:p>
    <w:p w:rsidR="00953D85" w:rsidRPr="007A5A94" w:rsidRDefault="00953D85" w:rsidP="00953D85">
      <w:pPr>
        <w:widowControl/>
        <w:spacing w:line="326" w:lineRule="atLeast"/>
        <w:jc w:val="right"/>
        <w:rPr>
          <w:rFonts w:ascii="宋体" w:eastAsia="宋体" w:hAnsi="宋体" w:cs="宋体"/>
          <w:color w:val="333333"/>
          <w:kern w:val="0"/>
          <w:szCs w:val="21"/>
        </w:rPr>
      </w:pPr>
      <w:r w:rsidRPr="007A5A94">
        <w:rPr>
          <w:rFonts w:ascii="宋体" w:eastAsia="宋体" w:hAnsi="宋体" w:cs="宋体"/>
          <w:color w:val="333333"/>
          <w:kern w:val="0"/>
          <w:szCs w:val="21"/>
        </w:rPr>
        <w:t>201</w:t>
      </w:r>
      <w:r w:rsidRPr="00953D85">
        <w:rPr>
          <w:rFonts w:ascii="宋体" w:eastAsia="宋体" w:hAnsi="宋体" w:cs="宋体" w:hint="eastAsia"/>
          <w:color w:val="333333"/>
          <w:kern w:val="0"/>
          <w:szCs w:val="21"/>
        </w:rPr>
        <w:t>4</w:t>
      </w:r>
      <w:r w:rsidRPr="007A5A94">
        <w:rPr>
          <w:rFonts w:ascii="宋体" w:eastAsia="宋体" w:hAnsi="宋体" w:cs="宋体"/>
          <w:color w:val="333333"/>
          <w:kern w:val="0"/>
          <w:szCs w:val="21"/>
        </w:rPr>
        <w:t>年</w:t>
      </w:r>
      <w:r w:rsidRPr="00953D85">
        <w:rPr>
          <w:rFonts w:ascii="宋体" w:eastAsia="宋体" w:hAnsi="宋体" w:cs="宋体" w:hint="eastAsia"/>
          <w:color w:val="333333"/>
          <w:kern w:val="0"/>
          <w:szCs w:val="21"/>
        </w:rPr>
        <w:t>4</w:t>
      </w:r>
      <w:r w:rsidRPr="007A5A94">
        <w:rPr>
          <w:rFonts w:ascii="宋体" w:eastAsia="宋体" w:hAnsi="宋体" w:cs="宋体"/>
          <w:color w:val="333333"/>
          <w:kern w:val="0"/>
          <w:szCs w:val="21"/>
        </w:rPr>
        <w:t>月</w:t>
      </w:r>
      <w:r w:rsidRPr="00953D85">
        <w:rPr>
          <w:rFonts w:ascii="宋体" w:eastAsia="宋体" w:hAnsi="宋体" w:cs="宋体"/>
          <w:color w:val="333333"/>
          <w:kern w:val="0"/>
          <w:szCs w:val="21"/>
        </w:rPr>
        <w:t>2</w:t>
      </w:r>
      <w:r w:rsidRPr="00953D85">
        <w:rPr>
          <w:rFonts w:ascii="宋体" w:eastAsia="宋体" w:hAnsi="宋体" w:cs="宋体" w:hint="eastAsia"/>
          <w:color w:val="333333"/>
          <w:kern w:val="0"/>
          <w:szCs w:val="21"/>
        </w:rPr>
        <w:t>2</w:t>
      </w:r>
      <w:r w:rsidRPr="007A5A94">
        <w:rPr>
          <w:rFonts w:ascii="宋体" w:eastAsia="宋体" w:hAnsi="宋体" w:cs="宋体"/>
          <w:color w:val="333333"/>
          <w:kern w:val="0"/>
          <w:szCs w:val="21"/>
        </w:rPr>
        <w:t>日</w:t>
      </w:r>
    </w:p>
    <w:p w:rsidR="00B21C3D" w:rsidRPr="00953D85" w:rsidRDefault="00B21C3D">
      <w:pPr>
        <w:rPr>
          <w:szCs w:val="21"/>
        </w:rPr>
      </w:pPr>
    </w:p>
    <w:sectPr w:rsidR="00B21C3D" w:rsidRPr="00953D85" w:rsidSect="00B21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ADB" w:rsidRDefault="005F6ADB" w:rsidP="005F6ADB">
      <w:r>
        <w:separator/>
      </w:r>
    </w:p>
  </w:endnote>
  <w:endnote w:type="continuationSeparator" w:id="0">
    <w:p w:rsidR="005F6ADB" w:rsidRDefault="005F6ADB" w:rsidP="005F6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ADB" w:rsidRDefault="005F6ADB" w:rsidP="005F6ADB">
      <w:r>
        <w:separator/>
      </w:r>
    </w:p>
  </w:footnote>
  <w:footnote w:type="continuationSeparator" w:id="0">
    <w:p w:rsidR="005F6ADB" w:rsidRDefault="005F6ADB" w:rsidP="005F6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D7438"/>
    <w:multiLevelType w:val="multilevel"/>
    <w:tmpl w:val="6514171C"/>
    <w:lvl w:ilvl="0">
      <w:start w:val="1"/>
      <w:numFmt w:val="decimal"/>
      <w:lvlText w:val="§%1"/>
      <w:lvlJc w:val="left"/>
      <w:pPr>
        <w:ind w:left="425" w:hanging="425"/>
      </w:pPr>
      <w:rPr>
        <w:rFonts w:ascii="宋体" w:eastAsia="宋体" w:hAnsi="宋体" w:hint="eastAsia"/>
        <w:b/>
        <w:sz w:val="21"/>
        <w:szCs w:val="21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ascii="宋体" w:eastAsia="宋体" w:hAnsi="宋体" w:hint="eastAsia"/>
        <w:b/>
        <w:sz w:val="21"/>
        <w:szCs w:val="21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ascii="宋体" w:eastAsia="宋体" w:hAnsi="宋体" w:hint="eastAsia"/>
        <w:b/>
        <w:sz w:val="21"/>
        <w:szCs w:val="21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D85"/>
    <w:rsid w:val="00010654"/>
    <w:rsid w:val="000C5EE3"/>
    <w:rsid w:val="001A634D"/>
    <w:rsid w:val="00322A48"/>
    <w:rsid w:val="004440F9"/>
    <w:rsid w:val="00474147"/>
    <w:rsid w:val="005F6ADB"/>
    <w:rsid w:val="0071226A"/>
    <w:rsid w:val="00726FA7"/>
    <w:rsid w:val="00953D85"/>
    <w:rsid w:val="009E2D42"/>
    <w:rsid w:val="00A16E72"/>
    <w:rsid w:val="00AF0D7C"/>
    <w:rsid w:val="00B21C3D"/>
    <w:rsid w:val="00BF46ED"/>
    <w:rsid w:val="00FA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3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3D85"/>
    <w:rPr>
      <w:sz w:val="18"/>
      <w:szCs w:val="18"/>
    </w:rPr>
  </w:style>
  <w:style w:type="character" w:customStyle="1" w:styleId="tx1">
    <w:name w:val="tx1"/>
    <w:basedOn w:val="a0"/>
    <w:rsid w:val="00953D85"/>
    <w:rPr>
      <w:b/>
      <w:bCs/>
    </w:rPr>
  </w:style>
  <w:style w:type="paragraph" w:styleId="a4">
    <w:name w:val="Document Map"/>
    <w:basedOn w:val="a"/>
    <w:link w:val="Char0"/>
    <w:uiPriority w:val="99"/>
    <w:semiHidden/>
    <w:unhideWhenUsed/>
    <w:rsid w:val="005F6ADB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5F6ADB"/>
    <w:rPr>
      <w:rFonts w:ascii="宋体" w:eastAsia="宋体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F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F6ADB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5F6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5F6A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393</Characters>
  <Application>Microsoft Office Word</Application>
  <DocSecurity>0</DocSecurity>
  <Lines>3</Lines>
  <Paragraphs>1</Paragraphs>
  <ScaleCrop>false</ScaleCrop>
  <Company>Lenovo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龚岚</dc:creator>
  <cp:lastModifiedBy>龚岚</cp:lastModifiedBy>
  <cp:revision>11</cp:revision>
  <dcterms:created xsi:type="dcterms:W3CDTF">2014-04-21T07:50:00Z</dcterms:created>
  <dcterms:modified xsi:type="dcterms:W3CDTF">2014-04-21T11:13:00Z</dcterms:modified>
</cp:coreProperties>
</file>